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2A1D" w14:textId="77777777" w:rsidR="00B65B87" w:rsidRDefault="00C34CAE">
      <w:pPr>
        <w:spacing w:after="0"/>
        <w:jc w:val="right"/>
      </w:pPr>
      <w:r>
        <w:rPr>
          <w:b/>
          <w:i/>
          <w:sz w:val="24"/>
        </w:rPr>
        <w:t>DỰ THẢO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3628"/>
        <w:gridCol w:w="5443"/>
      </w:tblGrid>
      <w:tr w:rsidR="00B65B87" w14:paraId="5FF76116" w14:textId="77777777">
        <w:trPr>
          <w:jc w:val="center"/>
        </w:trPr>
        <w:tc>
          <w:tcPr>
            <w:tcW w:w="3628" w:type="dxa"/>
            <w:tcMar>
              <w:top w:w="0" w:type="dxa"/>
              <w:left w:w="0" w:type="dxa"/>
              <w:bottom w:w="0" w:type="dxa"/>
              <w:right w:w="0" w:type="dxa"/>
            </w:tcMar>
          </w:tcPr>
          <w:p w14:paraId="27E69139" w14:textId="77777777" w:rsidR="00B65B87" w:rsidRDefault="00C34CAE">
            <w:pPr>
              <w:spacing w:after="0"/>
              <w:jc w:val="center"/>
            </w:pPr>
            <w:r>
              <w:rPr>
                <w:b/>
                <w:sz w:val="25"/>
              </w:rPr>
              <w:t>ỦY BAN NHÂN DÂN</w:t>
            </w:r>
          </w:p>
          <w:p w14:paraId="535E06C1" w14:textId="77777777" w:rsidR="00B65B87" w:rsidRDefault="00C34CAE">
            <w:pPr>
              <w:spacing w:after="0"/>
              <w:jc w:val="center"/>
            </w:pPr>
            <w:r>
              <w:rPr>
                <w:b/>
                <w:sz w:val="25"/>
              </w:rPr>
              <w:t>THÀNH PHỐ HỒ CHÍ MINH</w:t>
            </w:r>
          </w:p>
          <w:p w14:paraId="59360C27" w14:textId="0E79642F" w:rsidR="00B65B87" w:rsidRDefault="00513C79">
            <w:pPr>
              <w:spacing w:after="0"/>
              <w:jc w:val="center"/>
            </w:pPr>
            <w:r>
              <w:rPr>
                <w:noProof/>
              </w:rPr>
              <mc:AlternateContent>
                <mc:Choice Requires="wps">
                  <w:drawing>
                    <wp:anchor distT="0" distB="0" distL="114300" distR="114300" simplePos="0" relativeHeight="251659264" behindDoc="0" locked="0" layoutInCell="1" allowOverlap="1" wp14:anchorId="62052AFA" wp14:editId="50B28EF0">
                      <wp:simplePos x="0" y="0"/>
                      <wp:positionH relativeFrom="column">
                        <wp:posOffset>814070</wp:posOffset>
                      </wp:positionH>
                      <wp:positionV relativeFrom="paragraph">
                        <wp:posOffset>40005</wp:posOffset>
                      </wp:positionV>
                      <wp:extent cx="5810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144C9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1pt,3.15pt" to="109.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" strokecolor="black [3040]"/>
                  </w:pict>
                </mc:Fallback>
              </mc:AlternateContent>
            </w:r>
          </w:p>
        </w:tc>
        <w:tc>
          <w:tcPr>
            <w:tcW w:w="5443" w:type="dxa"/>
            <w:tcMar>
              <w:top w:w="0" w:type="dxa"/>
              <w:left w:w="0" w:type="dxa"/>
              <w:bottom w:w="0" w:type="dxa"/>
              <w:right w:w="0" w:type="dxa"/>
            </w:tcMar>
          </w:tcPr>
          <w:p w14:paraId="097D1F8B" w14:textId="77777777" w:rsidR="00B65B87" w:rsidRDefault="00C34CAE">
            <w:pPr>
              <w:spacing w:after="0"/>
              <w:jc w:val="center"/>
            </w:pPr>
            <w:r>
              <w:rPr>
                <w:b/>
                <w:sz w:val="24"/>
              </w:rPr>
              <w:t>CỘNG HÒA XÃ HỘI CHỦ NGHĨA VIỆT NAM</w:t>
            </w:r>
          </w:p>
          <w:p w14:paraId="202FD623" w14:textId="5EA8C8C1" w:rsidR="00B65B87" w:rsidRDefault="00513C79">
            <w:pPr>
              <w:spacing w:after="0"/>
              <w:jc w:val="center"/>
            </w:pPr>
            <w:r>
              <w:rPr>
                <w:b/>
                <w:noProof/>
              </w:rPr>
              <mc:AlternateContent>
                <mc:Choice Requires="wps">
                  <w:drawing>
                    <wp:anchor distT="0" distB="0" distL="114300" distR="114300" simplePos="0" relativeHeight="251660288" behindDoc="0" locked="0" layoutInCell="1" allowOverlap="1" wp14:anchorId="0C2A6F01" wp14:editId="0337A4DA">
                      <wp:simplePos x="0" y="0"/>
                      <wp:positionH relativeFrom="column">
                        <wp:posOffset>709930</wp:posOffset>
                      </wp:positionH>
                      <wp:positionV relativeFrom="paragraph">
                        <wp:posOffset>194310</wp:posOffset>
                      </wp:positionV>
                      <wp:extent cx="2009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16D90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9pt,15.3pt" to="214.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" strokecolor="black [3040]"/>
                  </w:pict>
                </mc:Fallback>
              </mc:AlternateContent>
            </w:r>
            <w:r w:rsidR="00C34CAE">
              <w:rPr>
                <w:b/>
              </w:rPr>
              <w:t>Độc lập - Tự do - Hạnh phúc</w:t>
            </w:r>
          </w:p>
          <w:p w14:paraId="6636D0DB" w14:textId="0F5E7706" w:rsidR="00B65B87" w:rsidRDefault="00B65B87">
            <w:pPr>
              <w:spacing w:after="0"/>
              <w:jc w:val="center"/>
            </w:pPr>
          </w:p>
        </w:tc>
      </w:tr>
      <w:tr w:rsidR="00B65B87" w14:paraId="146CAA96" w14:textId="77777777">
        <w:trPr>
          <w:jc w:val="center"/>
        </w:trPr>
        <w:tc>
          <w:tcPr>
            <w:tcW w:w="3628" w:type="dxa"/>
            <w:tcMar>
              <w:top w:w="0" w:type="dxa"/>
              <w:left w:w="0" w:type="dxa"/>
              <w:bottom w:w="0" w:type="dxa"/>
              <w:right w:w="0" w:type="dxa"/>
            </w:tcMar>
          </w:tcPr>
          <w:p w14:paraId="305468AD" w14:textId="0BB40F34" w:rsidR="00B65B87" w:rsidRDefault="00513C79">
            <w:pPr>
              <w:jc w:val="center"/>
            </w:pPr>
            <w:r>
              <w:rPr>
                <w:noProof/>
              </w:rPr>
              <mc:AlternateContent>
                <mc:Choice Requires="wps">
                  <w:drawing>
                    <wp:anchor distT="0" distB="0" distL="114300" distR="114300" simplePos="0" relativeHeight="251661312" behindDoc="0" locked="0" layoutInCell="1" allowOverlap="1" wp14:anchorId="15B7EF45" wp14:editId="676842C3">
                      <wp:simplePos x="0" y="0"/>
                      <wp:positionH relativeFrom="column">
                        <wp:posOffset>661670</wp:posOffset>
                      </wp:positionH>
                      <wp:positionV relativeFrom="paragraph">
                        <wp:posOffset>288290</wp:posOffset>
                      </wp:positionV>
                      <wp:extent cx="1000125" cy="34290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1000125" cy="342900"/>
                              </a:xfrm>
                              <a:prstGeom prst="rect">
                                <a:avLst/>
                              </a:prstGeom>
                              <a:solidFill>
                                <a:schemeClr val="lt1"/>
                              </a:solidFill>
                              <a:ln w="6350">
                                <a:solidFill>
                                  <a:prstClr val="black"/>
                                </a:solidFill>
                              </a:ln>
                            </wps:spPr>
                            <wps:txbx>
                              <w:txbxContent>
                                <w:p w14:paraId="4EC5A01C" w14:textId="4531AC90" w:rsidR="00513C79" w:rsidRPr="00513C79" w:rsidRDefault="00513C79">
                                  <w:pPr>
                                    <w:rPr>
                                      <w:b/>
                                      <w:bCs/>
                                    </w:rPr>
                                  </w:pPr>
                                  <w:r w:rsidRPr="00513C79">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5B7EF45" id="_x0000_t202" coordsize="21600,21600" o:spt="202" path="m,l,21600r21600,l21600,xe">
                      <v:stroke joinstyle="miter"/>
                      <v:path gradientshapeok="t" o:connecttype="rect"/>
                    </v:shapetype>
                    <v:shape id="Text Box 3" o:spid="_x0000_s1026" type="#_x0000_t202" style="position:absolute;left:0;text-align:left;margin-left:52.1pt;margin-top:22.7pt;width:78.75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" fillcolor="white [3201]" strokeweight=".5pt">
                      <v:textbox>
                        <w:txbxContent>
                          <w:p w14:paraId="4EC5A01C" w14:textId="4531AC90" w:rsidR="00513C79" w:rsidRPr="00513C79" w:rsidRDefault="00513C79">
                            <w:pPr>
                              <w:rPr>
                                <w:b/>
                                <w:bCs/>
                              </w:rPr>
                            </w:pPr>
                            <w:r w:rsidRPr="00513C79">
                              <w:rPr>
                                <w:b/>
                                <w:bCs/>
                              </w:rPr>
                              <w:t>DỰ THẢO</w:t>
                            </w:r>
                          </w:p>
                        </w:txbxContent>
                      </v:textbox>
                    </v:shape>
                  </w:pict>
                </mc:Fallback>
              </mc:AlternateContent>
            </w:r>
            <w:r w:rsidR="00C34CAE">
              <w:t>Số: …/BC-UBND</w:t>
            </w:r>
          </w:p>
        </w:tc>
        <w:tc>
          <w:tcPr>
            <w:tcW w:w="5443" w:type="dxa"/>
            <w:tcMar>
              <w:top w:w="0" w:type="dxa"/>
              <w:left w:w="0" w:type="dxa"/>
              <w:bottom w:w="0" w:type="dxa"/>
              <w:right w:w="0" w:type="dxa"/>
            </w:tcMar>
          </w:tcPr>
          <w:p w14:paraId="31408CF7" w14:textId="77777777" w:rsidR="00B65B87" w:rsidRDefault="00C34CAE">
            <w:pPr>
              <w:jc w:val="center"/>
            </w:pPr>
            <w:r>
              <w:rPr>
                <w:i/>
                <w:sz w:val="24"/>
              </w:rPr>
              <w:t>Thành phố Hồ Chí Minh, ngày … tháng … năm 2026</w:t>
            </w:r>
          </w:p>
        </w:tc>
      </w:tr>
    </w:tbl>
    <w:p w14:paraId="27D90194" w14:textId="77777777" w:rsidR="00B65B87" w:rsidRDefault="00B65B87">
      <w:pPr>
        <w:spacing w:after="0"/>
      </w:pPr>
    </w:p>
    <w:p w14:paraId="4B1E5060" w14:textId="77777777" w:rsidR="00B65B87" w:rsidRDefault="00C34CAE">
      <w:pPr>
        <w:spacing w:before="40" w:after="0"/>
        <w:jc w:val="center"/>
      </w:pPr>
      <w:r>
        <w:rPr>
          <w:b/>
          <w:sz w:val="28"/>
        </w:rPr>
        <w:t>BÁO CÁO</w:t>
      </w:r>
    </w:p>
    <w:p w14:paraId="64FE42E6" w14:textId="24E863AC" w:rsidR="00B65B87" w:rsidRDefault="00513C79">
      <w:pPr>
        <w:spacing w:after="160"/>
        <w:jc w:val="center"/>
        <w:rPr>
          <w:b/>
          <w:sz w:val="28"/>
        </w:rPr>
      </w:pPr>
      <w:r w:rsidRPr="00513C79">
        <w:rPr>
          <w:b/>
          <w:sz w:val="28"/>
        </w:rPr>
        <w:t xml:space="preserve">Đánh giá thực trạng quan hệ xã hội có liên quan đến dự thảo Nghị quyết </w:t>
      </w:r>
      <w:r>
        <w:rPr>
          <w:b/>
          <w:sz w:val="28"/>
        </w:rPr>
        <w:br/>
      </w:r>
      <w:r w:rsidRPr="00513C79">
        <w:rPr>
          <w:b/>
          <w:sz w:val="28"/>
        </w:rPr>
        <w:t xml:space="preserve">của Hội đồng nhân dân Thành phố quy định số lượng, việc thành lập, </w:t>
      </w:r>
      <w:r>
        <w:rPr>
          <w:b/>
          <w:sz w:val="28"/>
        </w:rPr>
        <w:br/>
      </w:r>
      <w:r w:rsidRPr="00513C79">
        <w:rPr>
          <w:b/>
          <w:sz w:val="28"/>
        </w:rPr>
        <w:t xml:space="preserve">tổ chức lại, giải thể cơ quan chuyên môn, tổ chức hành chính khác </w:t>
      </w:r>
      <w:r>
        <w:rPr>
          <w:b/>
          <w:sz w:val="28"/>
        </w:rPr>
        <w:br/>
      </w:r>
      <w:r w:rsidRPr="00513C79">
        <w:rPr>
          <w:b/>
          <w:sz w:val="28"/>
        </w:rPr>
        <w:t>thuộc phạm vi quản lý của Thành phố</w:t>
      </w:r>
    </w:p>
    <w:p w14:paraId="2D03460A" w14:textId="1857CBE7" w:rsidR="00513C79" w:rsidRDefault="00513C79">
      <w:pPr>
        <w:spacing w:after="160"/>
        <w:jc w:val="center"/>
      </w:pPr>
      <w:r>
        <w:rPr>
          <w:noProof/>
        </w:rPr>
        <mc:AlternateContent>
          <mc:Choice Requires="wps">
            <w:drawing>
              <wp:anchor distT="0" distB="0" distL="114300" distR="114300" simplePos="0" relativeHeight="251662336" behindDoc="0" locked="0" layoutInCell="1" allowOverlap="1" wp14:anchorId="7B3613D7" wp14:editId="2053C579">
                <wp:simplePos x="0" y="0"/>
                <wp:positionH relativeFrom="column">
                  <wp:posOffset>2538730</wp:posOffset>
                </wp:positionH>
                <wp:positionV relativeFrom="paragraph">
                  <wp:posOffset>12700</wp:posOffset>
                </wp:positionV>
                <wp:extent cx="9239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95C006"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9.9pt,1pt" to="272.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" strokecolor="black [3040]"/>
            </w:pict>
          </mc:Fallback>
        </mc:AlternateContent>
      </w:r>
    </w:p>
    <w:p w14:paraId="597FFD8E" w14:textId="77777777" w:rsidR="00513C79" w:rsidRPr="00513C79" w:rsidRDefault="00513C79" w:rsidP="00513C79">
      <w:pPr>
        <w:spacing w:after="60"/>
        <w:ind w:firstLine="567"/>
        <w:jc w:val="both"/>
        <w:rPr>
          <w:sz w:val="28"/>
          <w:szCs w:val="28"/>
        </w:rPr>
      </w:pPr>
      <w:r w:rsidRPr="00513C79">
        <w:rPr>
          <w:sz w:val="28"/>
          <w:szCs w:val="28"/>
        </w:rPr>
        <w:t>Thực hiện quy định của Luật Ban hành văn bản quy phạm pháp luật và các văn bản quy định chi tiết, hướng dẫn thi hành, Ủy ban nhân dân Thành phố Hồ Chí Minh tiến hành đánh giá thực trạng quan hệ xã hội có liên quan đến dự thảo Nghị quyết của Hội đồng nhân dân Thành phố quy định số lượng, việc thành lập, tổ chức lại, giải thể cơ quan chuyên môn, tổ chức hành chính khác thuộc phạm vi quản lý của Thành phố.</w:t>
      </w:r>
    </w:p>
    <w:p w14:paraId="09594B19" w14:textId="11A39BC0" w:rsidR="00B65B87" w:rsidRPr="00513C79" w:rsidRDefault="00513C79" w:rsidP="00513C79">
      <w:pPr>
        <w:spacing w:after="60"/>
        <w:ind w:firstLine="567"/>
        <w:jc w:val="both"/>
        <w:rPr>
          <w:sz w:val="28"/>
          <w:szCs w:val="28"/>
        </w:rPr>
      </w:pPr>
      <w:r w:rsidRPr="00513C79">
        <w:rPr>
          <w:sz w:val="28"/>
          <w:szCs w:val="28"/>
        </w:rPr>
        <w:t>Kết quả đánh giá thực trạng như sau:</w:t>
      </w:r>
    </w:p>
    <w:p w14:paraId="52241336" w14:textId="77777777" w:rsidR="00513C79" w:rsidRPr="00513C79" w:rsidRDefault="00513C79" w:rsidP="00513C79">
      <w:pPr>
        <w:pStyle w:val="Heading2"/>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I. BỐI CẢNH THỰC HIỆN ĐÁNH GIÁ</w:t>
      </w:r>
    </w:p>
    <w:p w14:paraId="4D01F275"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1. Bối cảnh trong nước và thực tiễn của Thành phố có liên quan đến các quan hệ xã hội</w:t>
      </w:r>
    </w:p>
    <w:p w14:paraId="5EBF454C"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Trong quá trình đổi mới, sắp xếp tổ chức bộ máy của hệ thống chính trị, yêu cầu xây dựng bộ máy hành chính nhà nước tinh gọn, hoạt động hiệu lực, hiệu quả, phân định rõ chức năng, nhiệm vụ, quyền hạn giữa các cơ quan, tổ chức ngày càng được chú trọng. Việc tổ chức các cơ quan chuyên môn, tổ chức hành chính phải đồng thời đáp ứng yêu cầu quản lý nhà nước, phù hợp với đặc điểm kinh tế - xã hội, quy mô dân số, phạm vi quản lý và yêu cầu cải cách hành chính của từng địa phương.</w:t>
      </w:r>
    </w:p>
    <w:p w14:paraId="6AD269CC"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Đối với Thành phố Hồ Chí Minh, sau khi thực hiện các chủ trương về sắp xếp tổ chức bộ máy, tổ chức lại đơn vị hành chính và thực hiện mô hình chính quyền địa phương hai cấp, phạm vi, quy mô và yêu cầu quản lý nhà nước trên địa bàn có nhiều thay đổi. Thành phố là đô thị đặc biệt, có quy mô dân số lớn, tốc độ đô thị hóa cao, hoạt động kinh tế - xã hội đa dạng, đồng thời giữ vai trò là trung tâm lớn về kinh tế, tài chính, thương mại, khoa học, công nghệ và đổi mới sáng tạo của cả nước.</w:t>
      </w:r>
    </w:p>
    <w:p w14:paraId="2531943F"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lastRenderedPageBreak/>
        <w:t>Việc tăng cường phân cấp, phân quyền, chuyển giao nhiệm vụ cho chính quyền địa phương, đẩy mạnh chuyển đổi số, cải cách hành chính và yêu cầu quản trị đô thị hiện đại đặt ra yêu cầu tiếp tục rà soát, hoàn thiện tổ chức các cơ quan chuyên môn, tổ chức hành chính thuộc Thành phố và cấp xã, bảo đảm tổ chức bộ máy phù hợp với chức năng, nhiệm vụ, thẩm quyền và yêu cầu thực tiễn.</w:t>
      </w:r>
    </w:p>
    <w:p w14:paraId="7A110655"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Bên cạnh đó, trong quá trình thực hiện nhiệm vụ quản lý nhà nước, chức năng, nhiệm vụ, phạm vi và đối tượng quản lý của các cơ quan, tổ chức có thể được điều chỉnh theo yêu cầu phát triển kinh tế - xã hội và yêu cầu quản lý trong từng thời kỳ. Do đó, cơ cấu tổ chức cần có khả năng được thành lập, tổ chức lại hoặc giải thể kịp thời khi có sự thay đổi về chức năng, nhiệm vụ, phạm vi, đối tượng quản lý hoặc khi tổ chức hoạt động không còn phù hợp.</w:t>
      </w:r>
    </w:p>
    <w:p w14:paraId="7A2CD5B9"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Thực tiễn nêu trên đặt ra yêu cầu Thành phố phải có cơ chế pháp lý cụ thể, thống nhất để chủ động quyết định số lượng, việc thành lập, tổ chức lại, giải thể các cơ quan chuyên môn, tổ chức hành chính thuộc phạm vi quản lý, đồng thời bảo đảm tổ chức bộ máy tinh gọn, không chồng chéo chức năng, nhiệm vụ và phù hợp với đặc điểm của Thành phố Hồ Chí Minh.</w:t>
      </w:r>
    </w:p>
    <w:p w14:paraId="25101B4F"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2. Chủ trương, chính sách của Đảng và pháp luật của Nhà nước có liên quan</w:t>
      </w:r>
    </w:p>
    <w:p w14:paraId="75F47E56"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Chủ trương của Đảng và Nhà nước trong thời gian qua nhất quán theo hướng tiếp tục đổi mới, sắp xếp tổ chức bộ máy của hệ thống chính trị tinh gọn, hoạt động hiệu lực, hiệu quả; phân định rõ chức năng, nhiệm vụ, quyền hạn; đẩy mạnh phân cấp, phân quyền; gắn tổ chức bộ máy với yêu cầu quản lý nhà nước và tình hình thực tiễn của từng địa phương.</w:t>
      </w:r>
    </w:p>
    <w:p w14:paraId="3F9FA4E0"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Luật Tổ chức chính quyền địa phương ngày 16 tháng 6 năm 2025 đã xác định thẩm quyền của Hội đồng nhân dân cấp tỉnh trong việc quyết định thành lập, tổ chức lại, giải thể cơ quan chuyên môn và tổ chức hành chính khác thuộc Ủy ban nhân dân cùng cấp theo quy định của pháp luật.</w:t>
      </w:r>
    </w:p>
    <w:p w14:paraId="6A84F41F"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Đặc biệt, Luật Phát triển đô thị ngày 24 tháng 8 năm 2026 đã giao Hội đồng nhân dân Thành phố Hồ Chí Minh thẩm quyền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14:paraId="099645CC"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Đây là cơ sở pháp lý quan trọng để Thành phố chủ động cụ thể hóa cơ chế tổ chức bộ máy phù hợp với đặc điểm của đô thị đặc biệt, quy mô dân số, khối lượng công việc, yêu cầu quản lý và quá trình phát triển của Thành phố.</w:t>
      </w:r>
    </w:p>
    <w:p w14:paraId="6500523D"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 xml:space="preserve">Bên cạnh đó, Nghị định số 121/2026/NĐ-CP ngày 03 tháng 4 năm 2026 của Chính phủ quy định về thành lập, tổ chức lại, giải thể tổ chức hành chính là cơ sở pháp lý chung để thực hiện việc thành lập, tổ chức lại, giải thể các tổ chức hành </w:t>
      </w:r>
      <w:r w:rsidRPr="00513C79">
        <w:rPr>
          <w:sz w:val="28"/>
          <w:szCs w:val="28"/>
        </w:rPr>
        <w:lastRenderedPageBreak/>
        <w:t>chính. Tuy nhiên, thực tiễn Thành phố đặt ra yêu cầu cụ thể hóa một số nội dung thuộc thẩm quyền đặc thù được Quốc hội giao cho Hội đồng nhân dân Thành phố.</w:t>
      </w:r>
    </w:p>
    <w:p w14:paraId="585FD1AA" w14:textId="77777777" w:rsidR="00513C79" w:rsidRPr="00513C79" w:rsidRDefault="00513C79" w:rsidP="00513C79">
      <w:pPr>
        <w:pStyle w:val="Heading2"/>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II. THỰC TRẠNG QUAN HỆ XÃ HỘI</w:t>
      </w:r>
    </w:p>
    <w:p w14:paraId="6EFB48FC"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1. Thực trạng tổ chức và số lượng cơ quan chuyên môn, tổ chức hành chính thuộc Ủy ban nhân dân Thành phố</w:t>
      </w:r>
    </w:p>
    <w:p w14:paraId="392BF0C5"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Hiện nay, việc tổ chức các cơ quan chuyên môn thuộc Ủy ban nhân dân Thành phố được thực hiện trên cơ sở quy định của pháp luật về tổ chức chính quyền địa phương và các quy định của Chính phủ về tổ chức cơ quan chuyên môn thuộc Ủy ban nhân dân cấp tỉnh.</w:t>
      </w:r>
    </w:p>
    <w:p w14:paraId="65C08DE8"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Cùng với các cơ quan chuyên môn, trong cơ cấu tổ chức của các sở và tổ chức hành chính khác còn có nhiều loại hình tổ chức như văn phòng, phòng chuyên môn, nghiệp vụ, chi cục và tổ chức tương đương; một số tổ chức hành chính được hình thành trong cơ cấu của các tổ chức hành chính khác.</w:t>
      </w:r>
    </w:p>
    <w:p w14:paraId="2710DD0B"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tổ chức nhiều loại hình tổ chức nhằm đáp ứng yêu cầu quản lý nhà nước theo từng ngành, lĩnh vực. Tuy nhiên, trong điều kiện Thành phố tiếp tục thực hiện sắp xếp tổ chức bộ máy, đẩy mạnh phân cấp, phân quyền và cải cách hành chính, việc xác định số lượng tổ chức cần bảo đảm nguyên tắc tinh gọn, tránh phát sinh đầu mối trung gian và hạn chế chồng chéo chức năng, nhiệm vụ.</w:t>
      </w:r>
    </w:p>
    <w:p w14:paraId="4CFCA7B7"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Thực tế cũng cho thấy, cùng với sự thay đổi về chức năng, nhiệm vụ và yêu cầu quản lý nhà nước, nhu cầu thành lập, tổ chức lại hoặc giải thể các tổ chức hành chính có thể phát sinh trong từng giai đoạn. Nếu không có quy định cụ thể về khung số lượng tổ chức phù hợp với đặc điểm của Thành phố, việc điều chỉnh tổ chức bộ máy có thể gặp khó khăn, thiếu tính chủ động hoặc phải áp dụng cơ chế chung chưa phản ánh đầy đủ đặc điểm của đô thị đặc biệt.</w:t>
      </w:r>
    </w:p>
    <w:p w14:paraId="13BB0494"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Do đó, cần thiết phải xác định khung số lượng cơ quan chuyên môn, tổ chức hành chính thuộc Ủy ban nhân dân Thành phố theo hướng vừa bảo đảm tinh gọn, vừa tạo dư địa để Thành phố chủ động sắp xếp tổ chức phù hợp với yêu cầu quản lý trong từng thời kỳ.</w:t>
      </w:r>
    </w:p>
    <w:p w14:paraId="08AB673A"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2. Thực trạng về các loại hình tổ chức hành chính thuộc phạm vi quản lý của Thành phố</w:t>
      </w:r>
    </w:p>
    <w:p w14:paraId="32A3DE29"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Pháp luật hiện hành đã quy định các loại hình tổ chức hành chính thuộc phạm vi quản lý của cơ quan hành chính nhà nước. Tuy nhiên, trong thực tiễn tổ chức bộ máy của Thành phố có phát sinh một số loại hình tổ chức cần được xác định rõ trong phạm vi điều chỉnh của cơ chế đặc thù.</w:t>
      </w:r>
    </w:p>
    <w:p w14:paraId="538E8650"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 xml:space="preserve">Dự thảo Nghị quyết xác định phạm vi các tổ chức hành chính ở cấp Thành phố gồm cơ quan chuyên môn thuộc Ủy ban nhân dân Thành phố; văn phòng, phòng chuyên môn, nghiệp vụ, chi cục và tổ chức tương đương thuộc cơ cấu tổ chức của sở; phòng và tổ chức hành chính thuộc cơ cấu tổ chức của chi cục và tổ chức tương </w:t>
      </w:r>
      <w:r w:rsidRPr="00513C79">
        <w:rPr>
          <w:sz w:val="28"/>
          <w:szCs w:val="28"/>
        </w:rPr>
        <w:lastRenderedPageBreak/>
        <w:t>đương; tổ chức hành chính thuộc đơn vị sự nghiệp công lập phục vụ nhiệm vụ chính trị và phục vụ quản lý nhà nước thuộc Ủy ban nhân dân Thành phố; tổ chức hành chính khác thuộc Ủy ban nhân dân Thành phố và các tổ chức cấu thành của các tổ chức này.</w:t>
      </w:r>
    </w:p>
    <w:p w14:paraId="1DC3867A"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xác định đầy đủ phạm vi đối tượng có ý nghĩa trong việc bảo đảm thống nhất trong quản lý tổ chức bộ máy, nhất là đối với những tổ chức phát sinh trong quá trình thực hiện nhiệm vụ quản lý nhà nước hoặc phục vụ nhiệm vụ chính trị của Thành phố.</w:t>
      </w:r>
    </w:p>
    <w:p w14:paraId="710AC0DF"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Nếu không xác định rõ phạm vi các loại hình tổ chức thuộc cơ chế điều chỉnh, có thể dẫn đến cách hiểu khác nhau về đối tượng áp dụng, thẩm quyền thành lập, tổ chức lại, giải thể cũng như trách nhiệm của các cơ quan trong quá trình thực hiện.</w:t>
      </w:r>
    </w:p>
    <w:p w14:paraId="449620F3"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Vì vậy, cần thiết có quy định thống nhất về phạm vi các tổ chức hành chính thuộc Thành phố để làm cơ sở cho việc quản lý, rà soát, sắp xếp và kiện toàn tổ chức bộ máy.</w:t>
      </w:r>
    </w:p>
    <w:p w14:paraId="4E7AE085"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3. Thực trạng về thành lập, tổ chức lại, giải thể các cơ quan chuyên môn, tổ chức hành chính</w:t>
      </w:r>
    </w:p>
    <w:p w14:paraId="5B042AC7"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Theo quy định pháp luật hiện hành, việc thành lập, tổ chức lại, giải thể tổ chức hành chính phải bảo đảm các điều kiện, tiêu chí, trình tự, thủ tục và thẩm quyền theo quy định.</w:t>
      </w:r>
    </w:p>
    <w:p w14:paraId="49E9F3AD"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Thực tiễn cho thấy, trong quá trình thực hiện chức năng quản lý nhà nước, các cơ quan hành chính có thể phát sinh yêu cầu tổ chức lại do thay đổi về tên gọi, vị trí, chức năng, nhiệm vụ, quyền hạn, cơ cấu tổ chức, phạm vi hoặc đối tượng quản lý; do tổ chức không còn đáp ứng tiêu chí thành lập hoặc hoạt động không hiệu quả.</w:t>
      </w:r>
    </w:p>
    <w:p w14:paraId="49083B7A"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Dự thảo Nghị quyết đã xác định các trường hợp tổ chức lại và giải thể theo hướng gắn với sự thay đổi về chức năng, nhiệm vụ, quyền hạn, cơ cấu tổ chức, phạm vi, đối tượng quản lý và hiệu quả hoạt động.</w:t>
      </w:r>
    </w:p>
    <w:p w14:paraId="06DDA7C4"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Do đó, cần thiết xác lập nguyên tắc chung để việc thành lập, tổ chức lại, giải thể các cơ quan chuyên môn, tổ chức hành chính vừa tuân thủ pháp luật, vừa bảo đảm tính chủ động của Thành phố trong tổ chức bộ máy.</w:t>
      </w:r>
    </w:p>
    <w:p w14:paraId="0079B990"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4. Thực trạng về cơ cấu tổ chức và tiêu chí thành lập các tổ chức thuộc cơ quan chuyên môn, tổ chức hành chính</w:t>
      </w:r>
    </w:p>
    <w:p w14:paraId="58D074FF"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Trong cơ cấu tổ chức của các cơ quan chuyên môn, tổ chức hành chính có thể bao gồm phòng chuyên môn, nghiệp vụ, văn phòng, chi cục và tổ chức tương đương, đơn vị sự nghiệp công lập và các tổ chức cấu thành khác theo quy định.</w:t>
      </w:r>
    </w:p>
    <w:p w14:paraId="50253081"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xác định tiêu chí thành lập các tổ chức là cơ sở quan trọng để kiểm soát việc phát sinh đầu mối, bảo đảm tổ chức được thành lập thực sự có nhu cầu và khối lượng công việc tương ứng.</w:t>
      </w:r>
    </w:p>
    <w:p w14:paraId="3DC2B050" w14:textId="38AE393C"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lastRenderedPageBreak/>
        <w:t xml:space="preserve">Dự thảo Nghị quyết dự kiến xác định tiêu chí thành lập cơ quan chuyên môn, tổ chức hành chính trên cơ sở có chức năng, nhiệm vụ tham mưu về quản lý nhà nước và khối lượng công việc yêu cầu </w:t>
      </w:r>
      <w:r w:rsidR="002A2E1D">
        <w:rPr>
          <w:sz w:val="28"/>
          <w:szCs w:val="28"/>
        </w:rPr>
        <w:t>theo quy định</w:t>
      </w:r>
      <w:r w:rsidRPr="00513C79">
        <w:rPr>
          <w:sz w:val="28"/>
          <w:szCs w:val="28"/>
        </w:rPr>
        <w:t>.</w:t>
      </w:r>
    </w:p>
    <w:p w14:paraId="70F2B2AB"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xác định tiêu chí cụ thể góp phần hạn chế việc thành lập tổ chức khi chưa đủ điều kiện, đồng thời tạo căn cứ thống nhất để cơ quan có thẩm quyền xem xét đề án thành lập, tổ chức lại các tổ chức hành chính.</w:t>
      </w:r>
    </w:p>
    <w:p w14:paraId="29BD4082"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5. Thực trạng về số lượng tổ chức hành chính thuộc Ủy ban nhân dân cấp xã</w:t>
      </w:r>
    </w:p>
    <w:p w14:paraId="5C6094C4"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thực hiện mô hình chính quyền địa phương hai cấp làm thay đổi đáng kể phạm vi, chức năng và yêu cầu thực hiện nhiệm vụ của chính quyền cấp xã. Cấp xã hiện trực tiếp thực hiện nhiều nhiệm vụ quản lý nhà nước và cung ứng dịch vụ hành chính công cho người dân, tổ chức trên địa bàn.</w:t>
      </w:r>
    </w:p>
    <w:p w14:paraId="0037FF5F"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Trong điều kiện Thành phố Hồ Chí Minh có quy mô dân số lớn, mức độ đô thị hóa cao và đặc điểm địa bàn khác nhau giữa các xã, phường, đặc khu, việc tổ chức các đầu mối chuyên môn cấp xã cần vừa bảo đảm thống nhất, vừa đáp ứng yêu cầu thực tế.</w:t>
      </w:r>
    </w:p>
    <w:p w14:paraId="7F4C7CA8"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Dự thảo Nghị quyết quy định Ủy ban nhân dân cấp xã được tổ chức 05 tổ chức hành chính, bao gồm các phòng chuyên môn và Trung tâm Phục vụ hành chính công; Hội đồng nhân dân cấp xã quyết định việc thành lập; Ủy ban nhân dân Thành phố hướng dẫn về tên gọi, chức năng, nhiệm vụ của các tổ chức hành chính thuộc Ủy ban nhân dân cấp xã.</w:t>
      </w:r>
    </w:p>
    <w:p w14:paraId="34572C20"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Thực trạng trên đặt ra yêu cầu cần có cơ chế xác định số lượng tổ chức hành chính cấp xã phù hợp với đặc điểm tổ chức chính quyền địa phương hai cấp của Thành phố, bảo đảm phân định rõ nhiệm vụ giữa cấp Thành phố và cấp xã, hạn chế phát sinh đầu mối không cần thiết nhưng vẫn bảo đảm năng lực thực hiện nhiệm vụ quản lý nhà nước ở cơ sở.</w:t>
      </w:r>
    </w:p>
    <w:p w14:paraId="0F44897E"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6. Thực trạng về thẩm quyền và trách nhiệm trong tổ chức bộ máy</w:t>
      </w:r>
    </w:p>
    <w:p w14:paraId="535B4D49"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Trong quá trình tổ chức và kiện toàn bộ máy, việc phân định rõ trách nhiệm giữa Hội đồng nhân dân và Ủy ban nhân dân Thành phố có ý nghĩa quan trọng nhằm bảo đảm nguyên tắc kiểm soát quyền lực, đồng thời nâng cao tính chủ động, trách nhiệm của cơ quan quản lý.</w:t>
      </w:r>
    </w:p>
    <w:p w14:paraId="70B0D14B"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Dự thảo Nghị quyết xác định Ủy ban nhân dân Thành phố có trách nhiệm trình Hội đồng nhân dân Thành phố quyết định thành lập, tổ chức lại, giải thể cơ quan chuyên môn, tổ chức hành chính khác thuộc Ủy ban nhân dân Thành phố; đồng thời quyết định đặt tên, thay đổi tên gọi, điều chỉnh chức năng của các cơ quan, tổ chức theo thẩm quyền.</w:t>
      </w:r>
    </w:p>
    <w:p w14:paraId="4A5A1A0A"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lastRenderedPageBreak/>
        <w:t>Đối với cấp xã, Hội đồng nhân dân cấp xã quyết định việc thành lập các tổ chức hành chính; Ủy ban nhân dân cấp xã quy định cụ thể chức năng, nhiệm vụ, quyền hạn của phòng chuyên môn theo quy định.</w:t>
      </w:r>
    </w:p>
    <w:p w14:paraId="7DA5CBC5"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phân định này tạo cơ sở để phát huy vai trò quyết định, giám sát của Hội đồng nhân dân và trách nhiệm tổ chức thực hiện của Ủy ban nhân dân, đồng thời phù hợp với yêu cầu phân cấp, phân quyền trong mô hình chính quyền địa phương hai cấp.</w:t>
      </w:r>
    </w:p>
    <w:p w14:paraId="5C87321C" w14:textId="77777777" w:rsidR="00513C79" w:rsidRPr="00513C79" w:rsidRDefault="00513C79" w:rsidP="00513C79">
      <w:pPr>
        <w:pStyle w:val="Heading2"/>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III. NHỮNG VẤN ĐỀ ĐẶT RA TỪ THỰC TRẠNG</w:t>
      </w:r>
    </w:p>
    <w:p w14:paraId="499A4B97"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Từ thực trạng nêu trên, có thể xác định một số vấn đề cần được tiếp tục điều chỉnh như sau:</w:t>
      </w:r>
    </w:p>
    <w:p w14:paraId="3F52BD84"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rStyle w:val="Strong"/>
          <w:sz w:val="28"/>
          <w:szCs w:val="28"/>
        </w:rPr>
        <w:t>Thứ nhất,</w:t>
      </w:r>
      <w:r w:rsidRPr="00513C79">
        <w:rPr>
          <w:sz w:val="28"/>
          <w:szCs w:val="28"/>
        </w:rPr>
        <w:t xml:space="preserve"> cần có quy định cụ thể về khung số lượng cơ quan chuyên môn, tổ chức hành chính thuộc Ủy ban nhân dân Thành phố để bảo đảm tổ chức bộ máy tinh gọn, hiệu lực, hiệu quả nhưng vẫn phù hợp với đặc điểm, quy mô và yêu cầu quản lý của Thành phố.</w:t>
      </w:r>
    </w:p>
    <w:p w14:paraId="643D4CBD"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rStyle w:val="Strong"/>
          <w:sz w:val="28"/>
          <w:szCs w:val="28"/>
        </w:rPr>
        <w:t>Thứ hai,</w:t>
      </w:r>
      <w:r w:rsidRPr="00513C79">
        <w:rPr>
          <w:sz w:val="28"/>
          <w:szCs w:val="28"/>
        </w:rPr>
        <w:t xml:space="preserve"> cần xác định rõ phạm vi các loại hình tổ chức hành chính thuộc Thành phố thuộc cơ chế điều chỉnh, trong đó bao quát các tổ chức hành chính thuộc cơ cấu của sở, chi cục, tổ chức hành chính khác và một số tổ chức hành chính thuộc đơn vị sự nghiệp công lập phục vụ nhiệm vụ chính trị, quản lý nhà nước.</w:t>
      </w:r>
    </w:p>
    <w:p w14:paraId="1EB5DC0F"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rStyle w:val="Strong"/>
          <w:sz w:val="28"/>
          <w:szCs w:val="28"/>
        </w:rPr>
        <w:t>Thứ ba,</w:t>
      </w:r>
      <w:r w:rsidRPr="00513C79">
        <w:rPr>
          <w:sz w:val="28"/>
          <w:szCs w:val="28"/>
        </w:rPr>
        <w:t xml:space="preserve"> cần có nguyên tắc và tiêu chí thống nhất về thành lập, tổ chức lại, giải thể tổ chức hành chính nhằm kiểm soát việc phát sinh đầu mối, bảo đảm mỗi tổ chức được thành lập phải có chức năng, nhiệm vụ, phạm vi, đối tượng quản lý và khối lượng công việc phù hợp.</w:t>
      </w:r>
    </w:p>
    <w:p w14:paraId="41C7E66B"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rStyle w:val="Strong"/>
          <w:sz w:val="28"/>
          <w:szCs w:val="28"/>
        </w:rPr>
        <w:t>Thứ tư,</w:t>
      </w:r>
      <w:r w:rsidRPr="00513C79">
        <w:rPr>
          <w:sz w:val="28"/>
          <w:szCs w:val="28"/>
        </w:rPr>
        <w:t xml:space="preserve"> cần xác định cơ chế tổ chức các đầu mối hành chính ở cấp xã phù hợp với mô hình chính quyền địa phương hai cấp và đặc điểm của Thành phố Hồ Chí Minh, bảo đảm cấp xã có đủ năng lực thực hiện nhiệm vụ được giao.</w:t>
      </w:r>
    </w:p>
    <w:p w14:paraId="2CDF6ED7"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rStyle w:val="Strong"/>
          <w:sz w:val="28"/>
          <w:szCs w:val="28"/>
        </w:rPr>
        <w:t>Thứ năm,</w:t>
      </w:r>
      <w:r w:rsidRPr="00513C79">
        <w:rPr>
          <w:sz w:val="28"/>
          <w:szCs w:val="28"/>
        </w:rPr>
        <w:t xml:space="preserve"> cần phân định rõ thẩm quyền của Hội đồng nhân dân, Ủy ban nhân dân và trách nhiệm của các cơ quan chuyên môn trong việc đề xuất, thẩm định, quyết định, tổ chức thực hiện và kiểm tra việc sắp xếp tổ chức bộ máy.</w:t>
      </w:r>
    </w:p>
    <w:p w14:paraId="12ABEB06"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rStyle w:val="Strong"/>
          <w:sz w:val="28"/>
          <w:szCs w:val="28"/>
        </w:rPr>
        <w:t>Thứ sáu,</w:t>
      </w:r>
      <w:r w:rsidRPr="00513C79">
        <w:rPr>
          <w:sz w:val="28"/>
          <w:szCs w:val="28"/>
        </w:rPr>
        <w:t xml:space="preserve"> cần có cơ chế chuyển tiếp đối với các cơ quan, đơn vị đã được thành lập, tổ chức lại trước thời điểm Nghị quyết có hiệu lực, bảo đảm hoạt động của cơ quan hành chính được liên tục, không gây xáo trộn không cần thiết và tạo điều kiện để các tổ chức chưa phù hợp từng bước được tổ chức lại theo quy định. Dự thảo hiện đã đặt ra nguyên tắc giữ nguyên đối với những cơ quan, đơn vị phù hợp và tổ chức lại đối với những trường hợp chưa phù hợp.</w:t>
      </w:r>
    </w:p>
    <w:p w14:paraId="68641281" w14:textId="77777777" w:rsidR="00513C79" w:rsidRPr="00513C79" w:rsidRDefault="00513C79" w:rsidP="00513C79">
      <w:pPr>
        <w:pStyle w:val="Heading2"/>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IV. SỰ CẦN THIẾT BAN HÀNH NGHỊ QUYẾT</w:t>
      </w:r>
    </w:p>
    <w:p w14:paraId="6226CA15"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 xml:space="preserve">Từ thực trạng quan hệ xã hội nêu trên, việc Hội đồng nhân dân Thành phố ban hành Nghị quyết quy định số lượng, việc thành lập, tổ chức lại, giải thể cơ quan </w:t>
      </w:r>
      <w:r w:rsidRPr="00513C79">
        <w:rPr>
          <w:sz w:val="28"/>
          <w:szCs w:val="28"/>
        </w:rPr>
        <w:lastRenderedPageBreak/>
        <w:t>chuyên môn, tổ chức hành chính khác thuộc phạm vi quản lý của Thành phố là cần thiết vì các lý do sau:</w:t>
      </w:r>
    </w:p>
    <w:p w14:paraId="05238510"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1. Cụ thể hóa thẩm quyền được Quốc hội giao cho Hội đồng nhân dân Thành phố</w:t>
      </w:r>
    </w:p>
    <w:p w14:paraId="3EB46CD6"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Luật Phát triển đô thị đã giao Hội đồng nhân dân Thành phố thẩm quyền quy định số lượng, việc thành lập, tổ chức lại, giải thể cơ quan chuyên môn, tổ chức hành chính khác thuộc phạm vi quản lý của Thành phố.</w:t>
      </w:r>
    </w:p>
    <w:p w14:paraId="2AC02629"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ban hành Nghị quyết là cần thiết để cụ thể hóa thẩm quyền được giao, tạo cơ sở pháp lý thống nhất cho việc tổ chức, sắp xếp và kiện toàn bộ máy hành chính của Thành phố.</w:t>
      </w:r>
    </w:p>
    <w:p w14:paraId="2884B342"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2. Đáp ứng yêu cầu thực tiễn về tổ chức bộ máy của Thành phố Hồ Chí Minh</w:t>
      </w:r>
    </w:p>
    <w:p w14:paraId="05DDC5F2"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Đặc điểm về quy mô dân số, điều kiện kinh tế - xã hội, phạm vi quản lý và yêu cầu quản trị đô thị của Thành phố Hồ Chí Minh đòi hỏi cơ cấu tổ chức bộ máy phải có tính linh hoạt và phù hợp với thực tiễn.</w:t>
      </w:r>
    </w:p>
    <w:p w14:paraId="27FF75A9"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quy định khung số lượng cơ quan chuyên môn, tổ chức hành chính và nguyên tắc thành lập, tổ chức lại, giải thể sẽ tạo cơ sở để Thành phố chủ động sắp xếp tổ chức bộ máy theo yêu cầu từng giai đoạn, đồng thời vẫn bảo đảm nguyên tắc tinh gọn.</w:t>
      </w:r>
    </w:p>
    <w:p w14:paraId="0E519656"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3. Bảo đảm thống nhất, minh bạch trong tổ chức thực hiện</w:t>
      </w:r>
    </w:p>
    <w:p w14:paraId="6B010EB9"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Nghị quyết tạo cơ sở pháp lý chung để các cơ quan, đơn vị thực hiện thống nhất việc thành lập, tổ chức lại, giải thể tổ chức hành chính; hạn chế tình trạng mỗi cơ quan áp dụng cách hiểu hoặc cách thức thực hiện khác nhau.</w:t>
      </w:r>
    </w:p>
    <w:p w14:paraId="229EB2DD"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Đồng thời, việc quy định rõ trách nhiệm của Hội đồng nhân dân, Ủy ban nhân dân, cơ quan chuyên môn và chính quyền cấp xã góp phần nâng cao trách nhiệm giải trình, kiểm tra và giám sát trong quá trình tổ chức bộ máy.</w:t>
      </w:r>
    </w:p>
    <w:p w14:paraId="3D40923D"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4. Bảo đảm tổ chức bộ máy tinh gọn, hoạt động hiệu lực, hiệu quả</w:t>
      </w:r>
    </w:p>
    <w:p w14:paraId="713712B6"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xác định các nguyên tắc, điều kiện và tiêu chí thành lập tổ chức hành chính góp phần kiểm soát việc hình thành các đầu mối mới, hạn chế chồng chéo chức năng, nhiệm vụ và bảo đảm tổ chức được thành lập có cơ sở pháp lý, có phạm vi, đối tượng quản lý và khối lượng công việc phù hợp.</w:t>
      </w:r>
    </w:p>
    <w:p w14:paraId="68D5C72D" w14:textId="77777777" w:rsidR="00513C79" w:rsidRPr="00513C79" w:rsidRDefault="00513C79" w:rsidP="00513C79">
      <w:pPr>
        <w:pStyle w:val="Heading3"/>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t>5. Phù hợp với yêu cầu thực hiện mô hình chính quyền địa phương hai cấp</w:t>
      </w:r>
    </w:p>
    <w:p w14:paraId="6C46FB50"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Việc quy định số lượng tổ chức hành chính cấp xã và cơ chế phân định trách nhiệm giữa Thành phố và cấp xã tạo cơ sở để chính quyền cấp xã thực hiện đầy đủ các nhiệm vụ được phân cấp, đồng thời bảo đảm sự thống nhất trong quản lý nhà nước từ Thành phố đến cơ sở.</w:t>
      </w:r>
    </w:p>
    <w:p w14:paraId="7A241077" w14:textId="77777777" w:rsidR="00513C79" w:rsidRPr="00513C79" w:rsidRDefault="00513C79" w:rsidP="00513C79">
      <w:pPr>
        <w:pStyle w:val="Heading2"/>
        <w:spacing w:before="120" w:after="120" w:line="240" w:lineRule="auto"/>
        <w:ind w:firstLine="567"/>
        <w:jc w:val="both"/>
        <w:rPr>
          <w:rFonts w:ascii="Times New Roman" w:hAnsi="Times New Roman" w:cs="Times New Roman"/>
          <w:color w:val="auto"/>
          <w:sz w:val="28"/>
          <w:szCs w:val="28"/>
        </w:rPr>
      </w:pPr>
      <w:r w:rsidRPr="00513C79">
        <w:rPr>
          <w:rFonts w:ascii="Times New Roman" w:hAnsi="Times New Roman" w:cs="Times New Roman"/>
          <w:color w:val="auto"/>
          <w:sz w:val="28"/>
          <w:szCs w:val="28"/>
        </w:rPr>
        <w:lastRenderedPageBreak/>
        <w:t>V. ĐỀ XUẤT, KIẾN NGHỊ</w:t>
      </w:r>
    </w:p>
    <w:p w14:paraId="54988E5B"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Từ kết quả đánh giá thực trạng quan hệ xã hội, Ủy ban nhân dân Thành phố nhận thấy việc ban hành Nghị quyết của Hội đồng nhân dân Thành phố là cần thiết, có cơ sở pháp lý và đáp ứng yêu cầu thực tiễn.</w:t>
      </w:r>
    </w:p>
    <w:p w14:paraId="7B9A0CE6" w14:textId="77777777" w:rsidR="00513C79" w:rsidRPr="00513C79" w:rsidRDefault="00513C79" w:rsidP="00513C79">
      <w:pPr>
        <w:pStyle w:val="isselectedend"/>
        <w:spacing w:before="120" w:beforeAutospacing="0" w:after="120" w:afterAutospacing="0"/>
        <w:ind w:firstLine="567"/>
        <w:jc w:val="both"/>
        <w:rPr>
          <w:sz w:val="28"/>
          <w:szCs w:val="28"/>
        </w:rPr>
      </w:pPr>
      <w:r w:rsidRPr="00513C79">
        <w:rPr>
          <w:sz w:val="28"/>
          <w:szCs w:val="28"/>
        </w:rPr>
        <w:t>Ủy ban nhân dân Thành phố đề xuất xây dựng và ban hành Nghị quyết theo các định hướng chủ yếu sau:</w:t>
      </w:r>
    </w:p>
    <w:p w14:paraId="5FEDDD92" w14:textId="6D3CD9EE" w:rsidR="00513C79" w:rsidRPr="002A2E1D" w:rsidRDefault="00513C79" w:rsidP="00513C79">
      <w:pPr>
        <w:pStyle w:val="isselectedend"/>
        <w:spacing w:before="120" w:beforeAutospacing="0" w:after="120" w:afterAutospacing="0"/>
        <w:ind w:firstLine="567"/>
        <w:jc w:val="both"/>
        <w:rPr>
          <w:sz w:val="28"/>
          <w:szCs w:val="28"/>
        </w:rPr>
      </w:pPr>
      <w:r w:rsidRPr="002A2E1D">
        <w:rPr>
          <w:rStyle w:val="Strong"/>
          <w:b w:val="0"/>
          <w:bCs w:val="0"/>
          <w:sz w:val="28"/>
          <w:szCs w:val="28"/>
        </w:rPr>
        <w:t>1.</w:t>
      </w:r>
      <w:r w:rsidRPr="002A2E1D">
        <w:rPr>
          <w:sz w:val="28"/>
          <w:szCs w:val="28"/>
        </w:rPr>
        <w:t xml:space="preserve"> Quy định số lượng cơ quan chuyên môn, tổ chức hành chính thuộc Ủy ban nhân dân Thành phố theo hướng phù hợp với đặc điểm của Thành phố Hồ Chí Minh, bảo đảm tinh gọn, hiệu lực, hiệu quả và không làm phát sinh chồng chéo chức năng, nhiệm vụ. Theo dự thảo, Ủy ban nhân dân Thành phố được tổ chức không quá 1</w:t>
      </w:r>
      <w:r w:rsidR="00B24F03">
        <w:rPr>
          <w:sz w:val="28"/>
          <w:szCs w:val="28"/>
        </w:rPr>
        <w:t>8</w:t>
      </w:r>
      <w:r w:rsidRPr="002A2E1D">
        <w:rPr>
          <w:sz w:val="28"/>
          <w:szCs w:val="28"/>
        </w:rPr>
        <w:t xml:space="preserve"> cơ quan chuyên môn và không quá 05 tổ chức hành chính.</w:t>
      </w:r>
    </w:p>
    <w:p w14:paraId="435A1A5B" w14:textId="77777777" w:rsidR="00513C79" w:rsidRPr="002A2E1D" w:rsidRDefault="00513C79" w:rsidP="00513C79">
      <w:pPr>
        <w:pStyle w:val="isselectedend"/>
        <w:spacing w:before="120" w:beforeAutospacing="0" w:after="120" w:afterAutospacing="0"/>
        <w:ind w:firstLine="567"/>
        <w:jc w:val="both"/>
        <w:rPr>
          <w:sz w:val="28"/>
          <w:szCs w:val="28"/>
        </w:rPr>
      </w:pPr>
      <w:r w:rsidRPr="002A2E1D">
        <w:rPr>
          <w:rStyle w:val="Strong"/>
          <w:b w:val="0"/>
          <w:bCs w:val="0"/>
          <w:sz w:val="28"/>
          <w:szCs w:val="28"/>
        </w:rPr>
        <w:t>2.</w:t>
      </w:r>
      <w:r w:rsidRPr="002A2E1D">
        <w:rPr>
          <w:sz w:val="28"/>
          <w:szCs w:val="28"/>
        </w:rPr>
        <w:t xml:space="preserve"> Xác định đầy đủ phạm vi các tổ chức hành chính thuộc đối tượng điều chỉnh của Nghị quyết, bảo đảm bao quát các loại hình tổ chức phát sinh trong thực tiễn quản lý nhà nước của Thành phố.</w:t>
      </w:r>
    </w:p>
    <w:p w14:paraId="72B1F99C" w14:textId="77777777" w:rsidR="00513C79" w:rsidRPr="002A2E1D" w:rsidRDefault="00513C79" w:rsidP="00513C79">
      <w:pPr>
        <w:pStyle w:val="isselectedend"/>
        <w:spacing w:before="120" w:beforeAutospacing="0" w:after="120" w:afterAutospacing="0"/>
        <w:ind w:firstLine="567"/>
        <w:jc w:val="both"/>
        <w:rPr>
          <w:sz w:val="28"/>
          <w:szCs w:val="28"/>
        </w:rPr>
      </w:pPr>
      <w:r w:rsidRPr="002A2E1D">
        <w:rPr>
          <w:rStyle w:val="Strong"/>
          <w:b w:val="0"/>
          <w:bCs w:val="0"/>
          <w:sz w:val="28"/>
          <w:szCs w:val="28"/>
        </w:rPr>
        <w:t>3.</w:t>
      </w:r>
      <w:r w:rsidRPr="002A2E1D">
        <w:rPr>
          <w:sz w:val="28"/>
          <w:szCs w:val="28"/>
        </w:rPr>
        <w:t xml:space="preserve"> Quy định nguyên tắc, điều kiện và tiêu chí thành lập, tổ chức lại, giải thể tổ chức hành chính; bảo đảm việc thành lập mới phải xuất phát từ yêu cầu quản lý thực tế, có chức năng, nhiệm vụ rõ ràng, không chồng chéo và đáp ứng các tiêu chí theo quy định.</w:t>
      </w:r>
    </w:p>
    <w:p w14:paraId="30C1CCBC" w14:textId="77777777" w:rsidR="00513C79" w:rsidRPr="002A2E1D" w:rsidRDefault="00513C79" w:rsidP="00513C79">
      <w:pPr>
        <w:pStyle w:val="isselectedend"/>
        <w:spacing w:before="120" w:beforeAutospacing="0" w:after="120" w:afterAutospacing="0"/>
        <w:ind w:firstLine="567"/>
        <w:jc w:val="both"/>
        <w:rPr>
          <w:sz w:val="28"/>
          <w:szCs w:val="28"/>
        </w:rPr>
      </w:pPr>
      <w:r w:rsidRPr="002A2E1D">
        <w:rPr>
          <w:rStyle w:val="Strong"/>
          <w:b w:val="0"/>
          <w:bCs w:val="0"/>
          <w:sz w:val="28"/>
          <w:szCs w:val="28"/>
        </w:rPr>
        <w:t>4.</w:t>
      </w:r>
      <w:r w:rsidRPr="002A2E1D">
        <w:rPr>
          <w:sz w:val="28"/>
          <w:szCs w:val="28"/>
        </w:rPr>
        <w:t xml:space="preserve"> Quy định cơ chế tổ chức các tổ chức hành chính thuộc Ủy ban nhân dân cấp xã phù hợp với yêu cầu thực hiện mô hình chính quyền địa phương hai cấp và đặc điểm của Thành phố Hồ Chí Minh.</w:t>
      </w:r>
    </w:p>
    <w:p w14:paraId="15D813E7" w14:textId="77777777" w:rsidR="00513C79" w:rsidRPr="002A2E1D" w:rsidRDefault="00513C79" w:rsidP="00513C79">
      <w:pPr>
        <w:pStyle w:val="isselectedend"/>
        <w:spacing w:before="120" w:beforeAutospacing="0" w:after="120" w:afterAutospacing="0"/>
        <w:ind w:firstLine="567"/>
        <w:jc w:val="both"/>
        <w:rPr>
          <w:sz w:val="28"/>
          <w:szCs w:val="28"/>
        </w:rPr>
      </w:pPr>
      <w:r w:rsidRPr="002A2E1D">
        <w:rPr>
          <w:rStyle w:val="Strong"/>
          <w:b w:val="0"/>
          <w:bCs w:val="0"/>
          <w:sz w:val="28"/>
          <w:szCs w:val="28"/>
        </w:rPr>
        <w:t>5.</w:t>
      </w:r>
      <w:r w:rsidRPr="002A2E1D">
        <w:rPr>
          <w:sz w:val="28"/>
          <w:szCs w:val="28"/>
        </w:rPr>
        <w:t xml:space="preserve"> Phân định rõ trách nhiệm của Hội đồng nhân dân, Ủy ban nhân dân Thành phố, các cơ quan chuyên môn thuộc Ủy ban nhân dân Thành phố và chính quyền cấp xã trong việc đề xuất, quyết định, tổ chức thực hiện, kiểm tra, giám sát việc sắp xếp tổ chức bộ máy.</w:t>
      </w:r>
    </w:p>
    <w:p w14:paraId="1D8042F6" w14:textId="77777777" w:rsidR="00513C79" w:rsidRPr="002A2E1D" w:rsidRDefault="00513C79" w:rsidP="00513C79">
      <w:pPr>
        <w:pStyle w:val="isselectedend"/>
        <w:spacing w:before="120" w:beforeAutospacing="0" w:after="120" w:afterAutospacing="0"/>
        <w:ind w:firstLine="567"/>
        <w:jc w:val="both"/>
        <w:rPr>
          <w:sz w:val="28"/>
          <w:szCs w:val="28"/>
        </w:rPr>
      </w:pPr>
      <w:r w:rsidRPr="002A2E1D">
        <w:rPr>
          <w:rStyle w:val="Strong"/>
          <w:b w:val="0"/>
          <w:bCs w:val="0"/>
          <w:sz w:val="28"/>
          <w:szCs w:val="28"/>
        </w:rPr>
        <w:t>6.</w:t>
      </w:r>
      <w:r w:rsidRPr="002A2E1D">
        <w:rPr>
          <w:sz w:val="28"/>
          <w:szCs w:val="28"/>
        </w:rPr>
        <w:t xml:space="preserve"> Bảo đảm việc thực hiện Nghị quyết thống nhất với các quy định của pháp luật về tổ chức chính quyền địa phương, thành lập, tổ chức lại, giải thể tổ chức hành chính và các quy định pháp luật chuyên ngành có liên quan; đối với những nội dung pháp luật hiện hành đã quy định đầy đủ thì thực hiện theo quy định hiện hành, hạn chế quy định trùng lặp.</w:t>
      </w:r>
    </w:p>
    <w:p w14:paraId="5C959A20" w14:textId="77777777" w:rsidR="00513C79" w:rsidRPr="002A2E1D" w:rsidRDefault="00513C79" w:rsidP="00513C79">
      <w:pPr>
        <w:pStyle w:val="isselectedend"/>
        <w:spacing w:before="120" w:beforeAutospacing="0" w:after="120" w:afterAutospacing="0"/>
        <w:ind w:firstLine="567"/>
        <w:jc w:val="both"/>
        <w:rPr>
          <w:sz w:val="28"/>
          <w:szCs w:val="28"/>
        </w:rPr>
      </w:pPr>
      <w:r w:rsidRPr="002A2E1D">
        <w:rPr>
          <w:rStyle w:val="Strong"/>
          <w:b w:val="0"/>
          <w:bCs w:val="0"/>
          <w:sz w:val="28"/>
          <w:szCs w:val="28"/>
        </w:rPr>
        <w:t>7.</w:t>
      </w:r>
      <w:r w:rsidRPr="002A2E1D">
        <w:rPr>
          <w:sz w:val="28"/>
          <w:szCs w:val="28"/>
        </w:rPr>
        <w:t xml:space="preserve"> Có quy định chuyển tiếp phù hợp, bảo đảm hoạt động của các cơ quan, đơn vị được liên tục, không làm ảnh hưởng đến việc thực hiện nhiệm vụ quản lý nhà nước và cung cấp dịch vụ công; đồng thời từng bước tổ chức lại các cơ quan, đơn vị chưa phù hợp với quy định mới.</w:t>
      </w:r>
    </w:p>
    <w:p w14:paraId="7246B7C1" w14:textId="775206B9" w:rsidR="00513C79" w:rsidRDefault="00513C79" w:rsidP="00513C79">
      <w:pPr>
        <w:pStyle w:val="NormalWeb"/>
        <w:spacing w:before="120" w:beforeAutospacing="0" w:after="120" w:afterAutospacing="0"/>
        <w:ind w:firstLine="567"/>
        <w:jc w:val="both"/>
        <w:rPr>
          <w:sz w:val="28"/>
          <w:szCs w:val="28"/>
        </w:rPr>
      </w:pPr>
      <w:r w:rsidRPr="00513C79">
        <w:rPr>
          <w:sz w:val="28"/>
          <w:szCs w:val="28"/>
        </w:rPr>
        <w:t>Trên đây là Báo cáo đánh giá thực trạng quan hệ xã hội có liên quan đến dự thảo Nghị quyết của Hội đồng nhân dân Thành phố quy định số lượng, việc thành lập, tổ chức lại, giải thể cơ quan chuyên môn, tổ chức hành chính khác thuộc phạm vi quản lý của Thành phố./.</w:t>
      </w:r>
    </w:p>
    <w:p w14:paraId="20D8D714" w14:textId="77777777" w:rsidR="00513C79" w:rsidRPr="00513C79" w:rsidRDefault="00513C79" w:rsidP="00513C79">
      <w:pPr>
        <w:pStyle w:val="NormalWeb"/>
        <w:spacing w:before="120" w:beforeAutospacing="0" w:after="120" w:afterAutospacing="0"/>
        <w:ind w:firstLine="567"/>
        <w:jc w:val="both"/>
        <w:rPr>
          <w:sz w:val="28"/>
          <w:szCs w:val="28"/>
        </w:rPr>
      </w:pP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702"/>
        <w:gridCol w:w="4702"/>
      </w:tblGrid>
      <w:tr w:rsidR="00B65B87" w14:paraId="480AFE93" w14:textId="77777777">
        <w:trPr>
          <w:jc w:val="center"/>
        </w:trPr>
        <w:tc>
          <w:tcPr>
            <w:tcW w:w="4702" w:type="dxa"/>
            <w:tcMar>
              <w:top w:w="0" w:type="dxa"/>
              <w:left w:w="0" w:type="dxa"/>
              <w:bottom w:w="0" w:type="dxa"/>
              <w:right w:w="0" w:type="dxa"/>
            </w:tcMar>
          </w:tcPr>
          <w:p w14:paraId="11DDED7F" w14:textId="77777777" w:rsidR="00B65B87" w:rsidRDefault="00C34CAE">
            <w:pPr>
              <w:spacing w:after="0"/>
            </w:pPr>
            <w:r>
              <w:rPr>
                <w:b/>
                <w:i/>
                <w:sz w:val="24"/>
              </w:rPr>
              <w:t>Nơi nhận:</w:t>
            </w:r>
          </w:p>
          <w:p w14:paraId="09ECD8D0" w14:textId="77777777" w:rsidR="00B65B87" w:rsidRDefault="00C34CAE">
            <w:pPr>
              <w:spacing w:after="0"/>
            </w:pPr>
            <w:r>
              <w:rPr>
                <w:sz w:val="23"/>
              </w:rPr>
              <w:t>- Hội đồng nhân dân Thành phố;</w:t>
            </w:r>
          </w:p>
          <w:p w14:paraId="5E465577" w14:textId="77777777" w:rsidR="00B65B87" w:rsidRDefault="00C34CAE">
            <w:pPr>
              <w:spacing w:after="0"/>
            </w:pPr>
            <w:r>
              <w:rPr>
                <w:sz w:val="23"/>
              </w:rPr>
              <w:t>- …;</w:t>
            </w:r>
          </w:p>
          <w:p w14:paraId="4B498F05" w14:textId="77777777" w:rsidR="00B65B87" w:rsidRDefault="00C34CAE">
            <w:pPr>
              <w:spacing w:after="0"/>
            </w:pPr>
            <w:r>
              <w:rPr>
                <w:sz w:val="23"/>
              </w:rPr>
              <w:t>- Lưu: VT, …</w:t>
            </w:r>
          </w:p>
        </w:tc>
        <w:tc>
          <w:tcPr>
            <w:tcW w:w="4702" w:type="dxa"/>
            <w:tcMar>
              <w:top w:w="0" w:type="dxa"/>
              <w:left w:w="0" w:type="dxa"/>
              <w:bottom w:w="0" w:type="dxa"/>
              <w:right w:w="0" w:type="dxa"/>
            </w:tcMar>
          </w:tcPr>
          <w:p w14:paraId="60009605" w14:textId="77777777" w:rsidR="00B65B87" w:rsidRDefault="00C34CAE">
            <w:pPr>
              <w:spacing w:after="0"/>
              <w:jc w:val="center"/>
            </w:pPr>
            <w:r>
              <w:rPr>
                <w:b/>
              </w:rPr>
              <w:t>TM. ỦY BAN NHÂN DÂN</w:t>
            </w:r>
          </w:p>
          <w:p w14:paraId="11882A8A" w14:textId="77777777" w:rsidR="00B65B87" w:rsidRDefault="00C34CAE">
            <w:pPr>
              <w:spacing w:after="0"/>
              <w:jc w:val="center"/>
            </w:pPr>
            <w:r>
              <w:rPr>
                <w:b/>
              </w:rPr>
              <w:t>CHỦ TỊCH</w:t>
            </w:r>
          </w:p>
          <w:p w14:paraId="2FD4B91D" w14:textId="77777777" w:rsidR="00B65B87" w:rsidRDefault="00B65B87">
            <w:pPr>
              <w:spacing w:after="0"/>
              <w:jc w:val="center"/>
            </w:pPr>
          </w:p>
          <w:p w14:paraId="0ECE643B" w14:textId="77777777" w:rsidR="00B65B87" w:rsidRDefault="00B65B87">
            <w:pPr>
              <w:spacing w:after="0"/>
              <w:jc w:val="center"/>
            </w:pPr>
          </w:p>
          <w:p w14:paraId="1EE7E4FB" w14:textId="77777777" w:rsidR="00B65B87" w:rsidRDefault="00B65B87">
            <w:pPr>
              <w:spacing w:after="0"/>
              <w:jc w:val="center"/>
            </w:pPr>
          </w:p>
          <w:p w14:paraId="414837D7" w14:textId="77777777" w:rsidR="00B65B87" w:rsidRDefault="00B65B87">
            <w:pPr>
              <w:spacing w:after="0"/>
              <w:jc w:val="center"/>
            </w:pPr>
          </w:p>
          <w:p w14:paraId="0A9317F6" w14:textId="7671658F" w:rsidR="00B65B87" w:rsidRDefault="00B65B87">
            <w:pPr>
              <w:jc w:val="center"/>
            </w:pPr>
          </w:p>
        </w:tc>
      </w:tr>
    </w:tbl>
    <w:p w14:paraId="68D52ECF" w14:textId="77777777" w:rsidR="00C34CAE" w:rsidRDefault="00C34CAE"/>
    <w:sectPr w:rsidR="00C34CAE" w:rsidSect="00034616">
      <w:footerReference w:type="default" r:id="rId8"/>
      <w:pgSz w:w="12240" w:h="15840"/>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C98C" w14:textId="77777777" w:rsidR="00024668" w:rsidRDefault="00024668">
      <w:pPr>
        <w:spacing w:after="0" w:line="240" w:lineRule="auto"/>
      </w:pPr>
      <w:r>
        <w:separator/>
      </w:r>
    </w:p>
  </w:endnote>
  <w:endnote w:type="continuationSeparator" w:id="0">
    <w:p w14:paraId="43FEB097" w14:textId="77777777" w:rsidR="00024668" w:rsidRDefault="000246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9B194" w14:textId="77777777" w:rsidR="00B65B87" w:rsidRDefault="00C34CAE">
    <w:pPr>
      <w:pStyle w:val="Footer"/>
      <w:jc w:val="center"/>
    </w:pPr>
    <w:r>
      <w:rPr>
        <w:sz w:val="22"/>
      </w:rPr>
      <w:fldChar w:fldCharType="begin"/>
    </w:r>
    <w:r>
      <w:rPr>
        <w:sz w:val="22"/>
      </w:rPr>
      <w:instrText xml:space="preserve"> PAGE </w:instrText>
    </w:r>
    <w:r>
      <w:rPr>
        <w:sz w:val="22"/>
      </w:rPr>
      <w:fldChar w:fldCharType="separate"/>
    </w:r>
    <w:r w:rsidR="00513C79">
      <w:rPr>
        <w:noProof/>
        <w:sz w:val="22"/>
      </w:rPr>
      <w:t>1</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A18EB" w14:textId="77777777" w:rsidR="00024668" w:rsidRDefault="00024668">
      <w:pPr>
        <w:spacing w:after="0" w:line="240" w:lineRule="auto"/>
      </w:pPr>
      <w:r>
        <w:separator/>
      </w:r>
    </w:p>
  </w:footnote>
  <w:footnote w:type="continuationSeparator" w:id="0">
    <w:p w14:paraId="78762433" w14:textId="77777777" w:rsidR="00024668" w:rsidRDefault="000246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4668"/>
    <w:rsid w:val="00034616"/>
    <w:rsid w:val="0006063C"/>
    <w:rsid w:val="0015074B"/>
    <w:rsid w:val="0029639D"/>
    <w:rsid w:val="002A2E1D"/>
    <w:rsid w:val="00326F90"/>
    <w:rsid w:val="00513C79"/>
    <w:rsid w:val="00AA1D8D"/>
    <w:rsid w:val="00B24F03"/>
    <w:rsid w:val="00B47730"/>
    <w:rsid w:val="00B65B87"/>
    <w:rsid w:val="00C34CAE"/>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56D8AD"/>
  <w14:defaultImageDpi w14:val="300"/>
  <w15:docId w15:val="{8EF44796-D77D-448B-B04C-4948B1DC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sselectedend">
    <w:name w:val="isselectedend"/>
    <w:basedOn w:val="Normal"/>
    <w:rsid w:val="00513C79"/>
    <w:pPr>
      <w:spacing w:before="100" w:beforeAutospacing="1" w:after="100" w:afterAutospacing="1" w:line="240" w:lineRule="auto"/>
    </w:pPr>
    <w:rPr>
      <w:rFonts w:cs="Times New Roman"/>
      <w:sz w:val="24"/>
      <w:szCs w:val="24"/>
    </w:rPr>
  </w:style>
  <w:style w:type="paragraph" w:styleId="NormalWeb">
    <w:name w:val="Normal (Web)"/>
    <w:basedOn w:val="Normal"/>
    <w:uiPriority w:val="99"/>
    <w:semiHidden/>
    <w:unhideWhenUsed/>
    <w:rsid w:val="00513C79"/>
    <w:pPr>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336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2888</Words>
  <Characters>16465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pc</cp:lastModifiedBy>
  <cp:revision>4</cp:revision>
  <dcterms:created xsi:type="dcterms:W3CDTF">2013-12-23T23:15:00Z</dcterms:created>
  <dcterms:modified xsi:type="dcterms:W3CDTF">2026-09-04T09:25:00Z</dcterms:modified>
  <cp:category/>
</cp:coreProperties>
</file>